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9D4" w:rsidRPr="001025AD" w:rsidRDefault="00ED79D4" w:rsidP="00ED79D4">
      <w:pPr>
        <w:pStyle w:val="11"/>
        <w:spacing w:before="0"/>
        <w:ind w:left="654" w:right="664"/>
        <w:jc w:val="center"/>
        <w:rPr>
          <w:sz w:val="24"/>
          <w:szCs w:val="24"/>
          <w:lang w:val="en-US"/>
        </w:rPr>
      </w:pPr>
      <w:bookmarkStart w:id="0" w:name="_GoBack"/>
      <w:r>
        <w:rPr>
          <w:sz w:val="24"/>
          <w:szCs w:val="24"/>
          <w:lang w:val="en-US"/>
        </w:rPr>
        <w:t>The Procedure for the Information on Patient Health</w:t>
      </w:r>
    </w:p>
    <w:bookmarkEnd w:id="0"/>
    <w:p w:rsidR="00ED79D4" w:rsidRPr="005B2F9A" w:rsidRDefault="00ED79D4" w:rsidP="00ED79D4">
      <w:pPr>
        <w:pStyle w:val="a3"/>
        <w:spacing w:before="4"/>
        <w:rPr>
          <w:sz w:val="24"/>
          <w:szCs w:val="24"/>
          <w:lang w:val="en-US"/>
        </w:rPr>
      </w:pPr>
    </w:p>
    <w:p w:rsidR="00ED79D4" w:rsidRDefault="00ED79D4" w:rsidP="00ED79D4">
      <w:pPr>
        <w:pStyle w:val="a5"/>
        <w:numPr>
          <w:ilvl w:val="0"/>
          <w:numId w:val="1"/>
        </w:numPr>
        <w:tabs>
          <w:tab w:val="left" w:pos="1293"/>
        </w:tabs>
        <w:ind w:right="103" w:firstLine="849"/>
        <w:rPr>
          <w:sz w:val="24"/>
          <w:szCs w:val="24"/>
          <w:lang w:val="en-US"/>
        </w:rPr>
      </w:pPr>
      <w:r>
        <w:rPr>
          <w:sz w:val="24"/>
          <w:szCs w:val="24"/>
          <w:lang w:val="en-US"/>
        </w:rPr>
        <w:t xml:space="preserve">Information on a patient’s health as well as any other patient information </w:t>
      </w:r>
      <w:proofErr w:type="gramStart"/>
      <w:r>
        <w:rPr>
          <w:sz w:val="24"/>
          <w:szCs w:val="24"/>
          <w:lang w:val="en-US"/>
        </w:rPr>
        <w:t>shall be deemed</w:t>
      </w:r>
      <w:proofErr w:type="gramEnd"/>
      <w:r>
        <w:rPr>
          <w:sz w:val="24"/>
          <w:szCs w:val="24"/>
          <w:lang w:val="en-US"/>
        </w:rPr>
        <w:t xml:space="preserve"> to be the patient-physician privilege, shall be protected by the law and shall not be disclosed without a patient’s consent except where provided for by the laws of the Republic of Belarus.</w:t>
      </w:r>
    </w:p>
    <w:p w:rsidR="00ED79D4" w:rsidRPr="005B2F9A" w:rsidRDefault="00ED79D4" w:rsidP="00ED79D4">
      <w:pPr>
        <w:pStyle w:val="a5"/>
        <w:numPr>
          <w:ilvl w:val="0"/>
          <w:numId w:val="1"/>
        </w:numPr>
        <w:tabs>
          <w:tab w:val="left" w:pos="1293"/>
        </w:tabs>
        <w:ind w:right="103" w:firstLine="849"/>
        <w:rPr>
          <w:sz w:val="24"/>
          <w:szCs w:val="24"/>
          <w:lang w:val="en-US"/>
        </w:rPr>
      </w:pPr>
      <w:r>
        <w:rPr>
          <w:sz w:val="24"/>
          <w:szCs w:val="24"/>
          <w:lang w:val="en-US"/>
        </w:rPr>
        <w:t>At a patient’s request, an attending physician, chief of the department or any other official of the Republican Research and Practice Mental Health Center shall provide the comprehensive information on the patient’s mental health state, type and characteristics of the patient’s mental disorder, treatment, approximate duration of treatment and the expected results of treatment to the patient. Information shall comply with the principles of medical and deontological ethics.</w:t>
      </w:r>
    </w:p>
    <w:p w:rsidR="00ED79D4" w:rsidRPr="00F42646" w:rsidRDefault="00ED79D4" w:rsidP="00ED79D4">
      <w:pPr>
        <w:pStyle w:val="a5"/>
        <w:numPr>
          <w:ilvl w:val="0"/>
          <w:numId w:val="1"/>
        </w:numPr>
        <w:tabs>
          <w:tab w:val="left" w:pos="1372"/>
        </w:tabs>
        <w:ind w:right="105" w:firstLine="878"/>
        <w:rPr>
          <w:sz w:val="24"/>
          <w:szCs w:val="24"/>
          <w:lang w:val="en-US"/>
        </w:rPr>
      </w:pPr>
      <w:proofErr w:type="gramStart"/>
      <w:r>
        <w:rPr>
          <w:sz w:val="24"/>
          <w:szCs w:val="24"/>
          <w:lang w:val="en-US"/>
        </w:rPr>
        <w:t>A medical specialist, who treats or follows up the patient, shall provide the information on the patient’s mental health state, type and characteristics of the patient’s mental disorder, treatment, approximate duration of treatment and the expected results of treatment, recommendations on care, treatment and follow-up of the patient to the patient’s family members or any other persons only with the consent of the patient.</w:t>
      </w:r>
      <w:proofErr w:type="gramEnd"/>
      <w:r>
        <w:rPr>
          <w:sz w:val="24"/>
          <w:szCs w:val="24"/>
          <w:lang w:val="en-US"/>
        </w:rPr>
        <w:t xml:space="preserve"> The relevant entry </w:t>
      </w:r>
      <w:proofErr w:type="gramStart"/>
      <w:r>
        <w:rPr>
          <w:sz w:val="24"/>
          <w:szCs w:val="24"/>
          <w:lang w:val="en-US"/>
        </w:rPr>
        <w:t>shall be made in the inpatient medical card and confirmed by the patient’s signature</w:t>
      </w:r>
      <w:proofErr w:type="gramEnd"/>
      <w:r>
        <w:rPr>
          <w:sz w:val="24"/>
          <w:szCs w:val="24"/>
          <w:lang w:val="en-US"/>
        </w:rPr>
        <w:t>.</w:t>
      </w:r>
    </w:p>
    <w:p w:rsidR="00ED79D4" w:rsidRPr="00F55CA9" w:rsidRDefault="00ED79D4" w:rsidP="00ED79D4">
      <w:pPr>
        <w:pStyle w:val="a5"/>
        <w:numPr>
          <w:ilvl w:val="0"/>
          <w:numId w:val="1"/>
        </w:numPr>
        <w:tabs>
          <w:tab w:val="left" w:pos="1427"/>
        </w:tabs>
        <w:ind w:right="105" w:firstLine="888"/>
        <w:rPr>
          <w:sz w:val="24"/>
          <w:szCs w:val="24"/>
          <w:lang w:val="en-US"/>
        </w:rPr>
      </w:pPr>
      <w:r>
        <w:rPr>
          <w:sz w:val="24"/>
          <w:szCs w:val="24"/>
          <w:lang w:val="en-US"/>
        </w:rPr>
        <w:t xml:space="preserve">Information on a patient’s </w:t>
      </w:r>
      <w:proofErr w:type="spellStart"/>
      <w:r>
        <w:rPr>
          <w:sz w:val="24"/>
          <w:szCs w:val="24"/>
          <w:lang w:val="en-US"/>
        </w:rPr>
        <w:t>patient’s</w:t>
      </w:r>
      <w:proofErr w:type="spellEnd"/>
      <w:r>
        <w:rPr>
          <w:sz w:val="24"/>
          <w:szCs w:val="24"/>
          <w:lang w:val="en-US"/>
        </w:rPr>
        <w:t xml:space="preserve"> mental health state, type and characteristics of the patient’s mental disorder, treatment, approximate duration of treatment and the expected results of treatment, recommendations on care, treatment and follow-up of the patient shall be provided to the legal representatives of the minor patients and legally incompetent patients.</w:t>
      </w:r>
    </w:p>
    <w:p w:rsidR="00ED79D4" w:rsidRPr="00F55CA9" w:rsidRDefault="00ED79D4" w:rsidP="00ED79D4">
      <w:pPr>
        <w:pStyle w:val="a5"/>
        <w:numPr>
          <w:ilvl w:val="0"/>
          <w:numId w:val="1"/>
        </w:numPr>
        <w:tabs>
          <w:tab w:val="left" w:pos="1357"/>
        </w:tabs>
        <w:ind w:right="106" w:firstLine="878"/>
        <w:rPr>
          <w:sz w:val="24"/>
          <w:szCs w:val="24"/>
          <w:lang w:val="en-US"/>
        </w:rPr>
      </w:pPr>
      <w:r>
        <w:rPr>
          <w:sz w:val="24"/>
          <w:szCs w:val="24"/>
          <w:lang w:val="en-US"/>
        </w:rPr>
        <w:t xml:space="preserve">An entry about any provision of information of a patient’s health state and any other patient information </w:t>
      </w:r>
      <w:proofErr w:type="gramStart"/>
      <w:r>
        <w:rPr>
          <w:sz w:val="24"/>
          <w:szCs w:val="24"/>
          <w:lang w:val="en-US"/>
        </w:rPr>
        <w:t>shall be made</w:t>
      </w:r>
      <w:proofErr w:type="gramEnd"/>
      <w:r>
        <w:rPr>
          <w:sz w:val="24"/>
          <w:szCs w:val="24"/>
          <w:lang w:val="en-US"/>
        </w:rPr>
        <w:t xml:space="preserve"> in the inpatient medical card.</w:t>
      </w:r>
    </w:p>
    <w:sectPr w:rsidR="00ED79D4" w:rsidRPr="00F55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6B731B"/>
    <w:multiLevelType w:val="hybridMultilevel"/>
    <w:tmpl w:val="0D3AC406"/>
    <w:lvl w:ilvl="0" w:tplc="BE2C1154">
      <w:start w:val="1"/>
      <w:numFmt w:val="decimal"/>
      <w:lvlText w:val="%1."/>
      <w:lvlJc w:val="left"/>
      <w:pPr>
        <w:ind w:left="102" w:hanging="341"/>
      </w:pPr>
      <w:rPr>
        <w:rFonts w:ascii="Times New Roman" w:eastAsia="Times New Roman" w:hAnsi="Times New Roman" w:cs="Times New Roman" w:hint="default"/>
        <w:spacing w:val="-34"/>
        <w:w w:val="100"/>
        <w:sz w:val="24"/>
        <w:szCs w:val="24"/>
        <w:lang w:val="en-US" w:eastAsia="ru-RU" w:bidi="ru-RU"/>
      </w:rPr>
    </w:lvl>
    <w:lvl w:ilvl="1" w:tplc="3EF220E6">
      <w:numFmt w:val="bullet"/>
      <w:lvlText w:val="•"/>
      <w:lvlJc w:val="left"/>
      <w:pPr>
        <w:ind w:left="1046" w:hanging="341"/>
      </w:pPr>
      <w:rPr>
        <w:rFonts w:hint="default"/>
        <w:lang w:val="ru-RU" w:eastAsia="ru-RU" w:bidi="ru-RU"/>
      </w:rPr>
    </w:lvl>
    <w:lvl w:ilvl="2" w:tplc="7F52DED2">
      <w:numFmt w:val="bullet"/>
      <w:lvlText w:val="•"/>
      <w:lvlJc w:val="left"/>
      <w:pPr>
        <w:ind w:left="1993" w:hanging="341"/>
      </w:pPr>
      <w:rPr>
        <w:rFonts w:hint="default"/>
        <w:lang w:val="ru-RU" w:eastAsia="ru-RU" w:bidi="ru-RU"/>
      </w:rPr>
    </w:lvl>
    <w:lvl w:ilvl="3" w:tplc="D9AC31D4">
      <w:numFmt w:val="bullet"/>
      <w:lvlText w:val="•"/>
      <w:lvlJc w:val="left"/>
      <w:pPr>
        <w:ind w:left="2940" w:hanging="341"/>
      </w:pPr>
      <w:rPr>
        <w:rFonts w:hint="default"/>
        <w:lang w:val="ru-RU" w:eastAsia="ru-RU" w:bidi="ru-RU"/>
      </w:rPr>
    </w:lvl>
    <w:lvl w:ilvl="4" w:tplc="E268317A">
      <w:numFmt w:val="bullet"/>
      <w:lvlText w:val="•"/>
      <w:lvlJc w:val="left"/>
      <w:pPr>
        <w:ind w:left="3887" w:hanging="341"/>
      </w:pPr>
      <w:rPr>
        <w:rFonts w:hint="default"/>
        <w:lang w:val="ru-RU" w:eastAsia="ru-RU" w:bidi="ru-RU"/>
      </w:rPr>
    </w:lvl>
    <w:lvl w:ilvl="5" w:tplc="936290E4">
      <w:numFmt w:val="bullet"/>
      <w:lvlText w:val="•"/>
      <w:lvlJc w:val="left"/>
      <w:pPr>
        <w:ind w:left="4834" w:hanging="341"/>
      </w:pPr>
      <w:rPr>
        <w:rFonts w:hint="default"/>
        <w:lang w:val="ru-RU" w:eastAsia="ru-RU" w:bidi="ru-RU"/>
      </w:rPr>
    </w:lvl>
    <w:lvl w:ilvl="6" w:tplc="1F184D14">
      <w:numFmt w:val="bullet"/>
      <w:lvlText w:val="•"/>
      <w:lvlJc w:val="left"/>
      <w:pPr>
        <w:ind w:left="5781" w:hanging="341"/>
      </w:pPr>
      <w:rPr>
        <w:rFonts w:hint="default"/>
        <w:lang w:val="ru-RU" w:eastAsia="ru-RU" w:bidi="ru-RU"/>
      </w:rPr>
    </w:lvl>
    <w:lvl w:ilvl="7" w:tplc="8FC85178">
      <w:numFmt w:val="bullet"/>
      <w:lvlText w:val="•"/>
      <w:lvlJc w:val="left"/>
      <w:pPr>
        <w:ind w:left="6728" w:hanging="341"/>
      </w:pPr>
      <w:rPr>
        <w:rFonts w:hint="default"/>
        <w:lang w:val="ru-RU" w:eastAsia="ru-RU" w:bidi="ru-RU"/>
      </w:rPr>
    </w:lvl>
    <w:lvl w:ilvl="8" w:tplc="F36060D2">
      <w:numFmt w:val="bullet"/>
      <w:lvlText w:val="•"/>
      <w:lvlJc w:val="left"/>
      <w:pPr>
        <w:ind w:left="7675" w:hanging="341"/>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D4"/>
    <w:rsid w:val="008A58A2"/>
    <w:rsid w:val="00ED7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F5725-285B-45CF-B216-A28BD4A4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D79D4"/>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D79D4"/>
    <w:rPr>
      <w:sz w:val="30"/>
      <w:szCs w:val="30"/>
    </w:rPr>
  </w:style>
  <w:style w:type="character" w:customStyle="1" w:styleId="a4">
    <w:name w:val="Основной текст Знак"/>
    <w:basedOn w:val="a0"/>
    <w:link w:val="a3"/>
    <w:uiPriority w:val="1"/>
    <w:rsid w:val="00ED79D4"/>
    <w:rPr>
      <w:rFonts w:ascii="Times New Roman" w:eastAsia="Times New Roman" w:hAnsi="Times New Roman" w:cs="Times New Roman"/>
      <w:sz w:val="30"/>
      <w:szCs w:val="30"/>
      <w:lang w:eastAsia="ru-RU" w:bidi="ru-RU"/>
    </w:rPr>
  </w:style>
  <w:style w:type="paragraph" w:customStyle="1" w:styleId="11">
    <w:name w:val="Заголовок 11"/>
    <w:basedOn w:val="a"/>
    <w:uiPriority w:val="1"/>
    <w:qFormat/>
    <w:rsid w:val="00ED79D4"/>
    <w:pPr>
      <w:spacing w:before="76"/>
      <w:ind w:left="2768"/>
      <w:outlineLvl w:val="1"/>
    </w:pPr>
    <w:rPr>
      <w:b/>
      <w:bCs/>
      <w:sz w:val="30"/>
      <w:szCs w:val="30"/>
    </w:rPr>
  </w:style>
  <w:style w:type="paragraph" w:styleId="a5">
    <w:name w:val="List Paragraph"/>
    <w:basedOn w:val="a"/>
    <w:uiPriority w:val="34"/>
    <w:qFormat/>
    <w:rsid w:val="00ED79D4"/>
    <w:pPr>
      <w:ind w:left="582" w:firstLine="7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2019-03-21T22:57:00Z</dcterms:created>
  <dcterms:modified xsi:type="dcterms:W3CDTF">2019-03-21T22:57:00Z</dcterms:modified>
</cp:coreProperties>
</file>